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E4" w:rsidRDefault="00BF08E4" w:rsidP="00BF08E4">
      <w:pPr>
        <w:rPr>
          <w:color w:val="808080" w:themeColor="background1" w:themeShade="80"/>
        </w:rPr>
      </w:pPr>
    </w:p>
    <w:tbl>
      <w:tblPr>
        <w:tblW w:w="10800" w:type="dxa"/>
        <w:tblInd w:w="-730" w:type="dxa"/>
        <w:tblBorders>
          <w:top w:val="single" w:sz="8" w:space="0" w:color="CC99FF"/>
          <w:left w:val="single" w:sz="8" w:space="0" w:color="CC99FF"/>
          <w:bottom w:val="single" w:sz="8" w:space="0" w:color="CC99FF"/>
          <w:right w:val="single" w:sz="8" w:space="0" w:color="CC99FF"/>
          <w:insideH w:val="single" w:sz="8" w:space="0" w:color="CC99FF"/>
          <w:insideV w:val="single" w:sz="8" w:space="0" w:color="CC99FF"/>
        </w:tblBorders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BF08E4" w:rsidTr="00053ADB">
        <w:trPr>
          <w:trHeight w:val="420"/>
        </w:trPr>
        <w:tc>
          <w:tcPr>
            <w:tcW w:w="10800" w:type="dxa"/>
            <w:gridSpan w:val="4"/>
            <w:shd w:val="clear" w:color="auto" w:fill="CC99FF"/>
          </w:tcPr>
          <w:p w:rsidR="00BF08E4" w:rsidRPr="00C67AC8" w:rsidRDefault="00BF08E4" w:rsidP="00053ADB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RPr="00C67AC8">
              <w:rPr>
                <w:color w:val="FFFFFF" w:themeColor="background1"/>
                <w:sz w:val="36"/>
                <w:szCs w:val="36"/>
              </w:rPr>
              <w:t>Performance Based Rubric</w:t>
            </w:r>
          </w:p>
        </w:tc>
      </w:tr>
      <w:tr w:rsidR="00BF08E4" w:rsidRPr="00C67AC8" w:rsidTr="00053ADB">
        <w:tc>
          <w:tcPr>
            <w:tcW w:w="2700" w:type="dxa"/>
          </w:tcPr>
          <w:p w:rsidR="00BF08E4" w:rsidRPr="00C67AC8" w:rsidRDefault="00BF08E4" w:rsidP="00053ADB">
            <w:pPr>
              <w:widowControl w:val="0"/>
              <w:spacing w:line="240" w:lineRule="auto"/>
              <w:jc w:val="center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Standards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jc w:val="center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Developing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jc w:val="center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On-Target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jc w:val="center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Mastery</w:t>
            </w:r>
          </w:p>
        </w:tc>
      </w:tr>
      <w:tr w:rsidR="00BF08E4" w:rsidRPr="00C67AC8" w:rsidTr="00053ADB">
        <w:trPr>
          <w:trHeight w:val="492"/>
        </w:trPr>
        <w:tc>
          <w:tcPr>
            <w:tcW w:w="2700" w:type="dxa"/>
          </w:tcPr>
          <w:p w:rsidR="00BF08E4" w:rsidRPr="00C67AC8" w:rsidRDefault="00BF08E4" w:rsidP="00053ADB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Science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6D43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The idea that energy is conserved and energy conversion between trophic levels is demonstrated when questioned directly. </w:t>
            </w:r>
          </w:p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6D43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The idea that energy is conserved and energy conversion between trophic levels is demonstrated as a team of students lead a discussion of their given problem at the hatchery. 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6D43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The team of students drives home the importance of energy conservation as they use mathematics to demonstrate the conversion of food to body mass in trout. </w:t>
            </w:r>
          </w:p>
        </w:tc>
      </w:tr>
      <w:tr w:rsidR="00BF08E4" w:rsidRPr="00C67AC8" w:rsidTr="00053ADB">
        <w:tc>
          <w:tcPr>
            <w:tcW w:w="2700" w:type="dxa"/>
          </w:tcPr>
          <w:p w:rsidR="00BF08E4" w:rsidRPr="00C67AC8" w:rsidRDefault="00BF08E4" w:rsidP="00053ADB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Math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  <w:p w:rsidR="00BF08E4" w:rsidRPr="00C67AC8" w:rsidRDefault="00694FDC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Basic math skills are used when prompted.</w:t>
            </w:r>
          </w:p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694FDC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Students use mathematics to solve problems when given specific situations relating to our fish hatcheries. 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694FDC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Students determine which math skills are needed to solve issues that come up in our fish hatcheries. </w:t>
            </w:r>
          </w:p>
        </w:tc>
      </w:tr>
      <w:tr w:rsidR="00BF08E4" w:rsidRPr="00C67AC8" w:rsidTr="00053ADB">
        <w:tc>
          <w:tcPr>
            <w:tcW w:w="2700" w:type="dxa"/>
          </w:tcPr>
          <w:p w:rsidR="00BF08E4" w:rsidRPr="00C67AC8" w:rsidRDefault="00BF08E4" w:rsidP="00053ADB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ELA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6D43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Students use a variety of marginal sources as they explain their team’s problem.</w:t>
            </w:r>
          </w:p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6D43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Students use some good online sources as evidence but lack the types of sources used today in the fish production science in their explanation.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6D43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Students use technical writing relevant to the scientific field of fis</w:t>
            </w:r>
            <w:bookmarkStart w:id="0" w:name="_GoBack"/>
            <w:bookmarkEnd w:id="0"/>
            <w:r>
              <w:rPr>
                <w:b/>
                <w:color w:val="808080" w:themeColor="background1" w:themeShade="80"/>
              </w:rPr>
              <w:t xml:space="preserve">h production in their explanation. </w:t>
            </w:r>
          </w:p>
        </w:tc>
      </w:tr>
      <w:tr w:rsidR="00BF08E4" w:rsidRPr="00C67AC8" w:rsidTr="00053ADB">
        <w:tc>
          <w:tcPr>
            <w:tcW w:w="2700" w:type="dxa"/>
          </w:tcPr>
          <w:p w:rsidR="00BF08E4" w:rsidRPr="00C67AC8" w:rsidRDefault="00BF08E4" w:rsidP="00053ADB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Social Studies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694FDC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Hydroelectric power is not mentioned in the explanation. </w:t>
            </w:r>
          </w:p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694FDC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Student teams hint at the </w:t>
            </w:r>
            <w:r w:rsidR="006D43E4">
              <w:rPr>
                <w:b/>
                <w:color w:val="808080" w:themeColor="background1" w:themeShade="80"/>
              </w:rPr>
              <w:t>community impact</w:t>
            </w:r>
            <w:r>
              <w:rPr>
                <w:b/>
                <w:color w:val="808080" w:themeColor="background1" w:themeShade="80"/>
              </w:rPr>
              <w:t xml:space="preserve"> of hydroelectric power production in the explanation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694FDC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Students consider the deep community impact of hydroelectric power production in</w:t>
            </w:r>
            <w:r w:rsidR="008D6C4E">
              <w:rPr>
                <w:b/>
                <w:color w:val="808080" w:themeColor="background1" w:themeShade="80"/>
              </w:rPr>
              <w:t xml:space="preserve"> the</w:t>
            </w:r>
            <w:r>
              <w:rPr>
                <w:b/>
                <w:color w:val="808080" w:themeColor="background1" w:themeShade="80"/>
              </w:rPr>
              <w:t xml:space="preserve"> explanation</w:t>
            </w:r>
          </w:p>
        </w:tc>
      </w:tr>
      <w:tr w:rsidR="00BF08E4" w:rsidRPr="00C67AC8" w:rsidTr="00053ADB">
        <w:trPr>
          <w:trHeight w:val="312"/>
        </w:trPr>
        <w:tc>
          <w:tcPr>
            <w:tcW w:w="2700" w:type="dxa"/>
          </w:tcPr>
          <w:p w:rsidR="00BF08E4" w:rsidRPr="00C67AC8" w:rsidRDefault="00BF08E4" w:rsidP="00053ADB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Other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</w:tbl>
    <w:p w:rsidR="00FF6DEA" w:rsidRDefault="00FF6DEA"/>
    <w:sectPr w:rsidR="00FF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E1990"/>
    <w:multiLevelType w:val="hybridMultilevel"/>
    <w:tmpl w:val="BACA77D6"/>
    <w:lvl w:ilvl="0" w:tplc="F302401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275030"/>
    <w:multiLevelType w:val="hybridMultilevel"/>
    <w:tmpl w:val="B0E4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A1F94"/>
    <w:multiLevelType w:val="hybridMultilevel"/>
    <w:tmpl w:val="A81E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4FAE"/>
    <w:multiLevelType w:val="hybridMultilevel"/>
    <w:tmpl w:val="2ECA829A"/>
    <w:lvl w:ilvl="0" w:tplc="BE8223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E4"/>
    <w:rsid w:val="001762AD"/>
    <w:rsid w:val="00230B44"/>
    <w:rsid w:val="00274AB4"/>
    <w:rsid w:val="00275E77"/>
    <w:rsid w:val="002C6E2C"/>
    <w:rsid w:val="002E5120"/>
    <w:rsid w:val="00337DE4"/>
    <w:rsid w:val="004F2F7D"/>
    <w:rsid w:val="00516787"/>
    <w:rsid w:val="005314C3"/>
    <w:rsid w:val="00694FDC"/>
    <w:rsid w:val="006A530D"/>
    <w:rsid w:val="006D158F"/>
    <w:rsid w:val="006D43E4"/>
    <w:rsid w:val="00723C5A"/>
    <w:rsid w:val="008D161B"/>
    <w:rsid w:val="008D6C4E"/>
    <w:rsid w:val="00984130"/>
    <w:rsid w:val="00A63AE2"/>
    <w:rsid w:val="00BC09B9"/>
    <w:rsid w:val="00BD72E1"/>
    <w:rsid w:val="00BF08E4"/>
    <w:rsid w:val="00C578D5"/>
    <w:rsid w:val="00CE4BE8"/>
    <w:rsid w:val="00D7712B"/>
    <w:rsid w:val="00ED39BD"/>
    <w:rsid w:val="00ED4A6E"/>
    <w:rsid w:val="00F1477F"/>
    <w:rsid w:val="00F56C53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FF53"/>
  <w15:chartTrackingRefBased/>
  <w15:docId w15:val="{88CB1AAC-900A-49F6-8BDF-B60D8052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8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B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6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Shepherd</dc:creator>
  <cp:keywords/>
  <dc:description/>
  <cp:lastModifiedBy>Johnson, Jennifer B</cp:lastModifiedBy>
  <cp:revision>4</cp:revision>
  <dcterms:created xsi:type="dcterms:W3CDTF">2018-07-24T18:47:00Z</dcterms:created>
  <dcterms:modified xsi:type="dcterms:W3CDTF">2018-07-24T18:51:00Z</dcterms:modified>
</cp:coreProperties>
</file>