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DCC23" w14:textId="3FBDB4F3" w:rsidR="00C67AC8" w:rsidRDefault="00C67AC8">
      <w:pPr>
        <w:rPr>
          <w:color w:val="808080" w:themeColor="background1" w:themeShade="80"/>
        </w:rPr>
      </w:pPr>
    </w:p>
    <w:tbl>
      <w:tblPr>
        <w:tblW w:w="10800" w:type="dxa"/>
        <w:tblInd w:w="-730" w:type="dxa"/>
        <w:tblBorders>
          <w:top w:val="single" w:sz="8" w:space="0" w:color="CC99FF"/>
          <w:left w:val="single" w:sz="8" w:space="0" w:color="CC99FF"/>
          <w:bottom w:val="single" w:sz="8" w:space="0" w:color="CC99FF"/>
          <w:right w:val="single" w:sz="8" w:space="0" w:color="CC99FF"/>
          <w:insideH w:val="single" w:sz="8" w:space="0" w:color="CC99FF"/>
          <w:insideV w:val="single" w:sz="8" w:space="0" w:color="CC99FF"/>
        </w:tblBorders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C67AC8" w14:paraId="3EE02476" w14:textId="77777777" w:rsidTr="00C67AC8">
        <w:trPr>
          <w:trHeight w:val="420"/>
        </w:trPr>
        <w:tc>
          <w:tcPr>
            <w:tcW w:w="10800" w:type="dxa"/>
            <w:gridSpan w:val="4"/>
            <w:shd w:val="clear" w:color="auto" w:fill="CC99FF"/>
          </w:tcPr>
          <w:p w14:paraId="77FCF8C2" w14:textId="77777777" w:rsidR="00C67AC8" w:rsidRPr="00C67AC8" w:rsidRDefault="00C67AC8" w:rsidP="006A4CF0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C67AC8">
              <w:rPr>
                <w:color w:val="FFFFFF" w:themeColor="background1"/>
                <w:sz w:val="36"/>
                <w:szCs w:val="36"/>
              </w:rPr>
              <w:t>Performance Based Rubric</w:t>
            </w:r>
          </w:p>
        </w:tc>
      </w:tr>
      <w:tr w:rsidR="00C67AC8" w:rsidRPr="00C67AC8" w14:paraId="61F915B4" w14:textId="77777777" w:rsidTr="00C67AC8">
        <w:tc>
          <w:tcPr>
            <w:tcW w:w="2700" w:type="dxa"/>
          </w:tcPr>
          <w:p w14:paraId="37E3A001" w14:textId="77777777" w:rsidR="00C67AC8" w:rsidRPr="00C67AC8" w:rsidRDefault="00C67AC8" w:rsidP="006A4CF0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Standards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17BD" w14:textId="77777777" w:rsidR="00C67AC8" w:rsidRPr="00C67AC8" w:rsidRDefault="00C67AC8" w:rsidP="006A4CF0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Developing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6B2E" w14:textId="77777777" w:rsidR="00C67AC8" w:rsidRPr="00C67AC8" w:rsidRDefault="00C67AC8" w:rsidP="006A4CF0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On-Target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7C0E" w14:textId="77777777" w:rsidR="00C67AC8" w:rsidRPr="00C67AC8" w:rsidRDefault="00C67AC8" w:rsidP="006A4CF0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Mastery</w:t>
            </w:r>
          </w:p>
        </w:tc>
      </w:tr>
      <w:tr w:rsidR="00C67AC8" w:rsidRPr="00C67AC8" w14:paraId="433A52A0" w14:textId="77777777" w:rsidTr="00C67AC8">
        <w:trPr>
          <w:trHeight w:val="492"/>
        </w:trPr>
        <w:tc>
          <w:tcPr>
            <w:tcW w:w="2700" w:type="dxa"/>
          </w:tcPr>
          <w:p w14:paraId="2BC27488" w14:textId="77777777" w:rsidR="00C67AC8" w:rsidRPr="00C67AC8" w:rsidRDefault="00C67AC8" w:rsidP="006A4CF0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Science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D990" w14:textId="668A63A0" w:rsidR="00C67AC8" w:rsidRPr="00C67AC8" w:rsidRDefault="00E407E5" w:rsidP="001A5EF2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Students show marginal understanding of the carbon cycle. </w:t>
            </w:r>
            <w:r w:rsidR="001A5EF2">
              <w:rPr>
                <w:b/>
                <w:color w:val="808080" w:themeColor="background1" w:themeShade="80"/>
              </w:rPr>
              <w:t>They can draw a model of the carbon cycle.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4D57" w14:textId="46133036" w:rsidR="00C67AC8" w:rsidRPr="00C67AC8" w:rsidRDefault="00E407E5" w:rsidP="006A4CF0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Students demonstrate an understanding of the carbon cycle and how humans are involved in the cycle.</w:t>
            </w:r>
            <w:r w:rsidR="001A5EF2">
              <w:rPr>
                <w:b/>
                <w:color w:val="808080" w:themeColor="background1" w:themeShade="80"/>
              </w:rPr>
              <w:t xml:space="preserve"> They see errors and can make revisions on the carbon cycle model.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EF40" w14:textId="1E7A01BE" w:rsidR="00C67AC8" w:rsidRPr="00C67AC8" w:rsidRDefault="00E407E5" w:rsidP="006A4CF0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Students demonstrate an understanding of the carbon cycle and can demonstrate how systems function. </w:t>
            </w:r>
            <w:r w:rsidR="001A5EF2">
              <w:rPr>
                <w:b/>
                <w:color w:val="808080" w:themeColor="background1" w:themeShade="80"/>
              </w:rPr>
              <w:t>The can draw and revise the carbon cycle model to include human impacts with the resulting impacts on climate.</w:t>
            </w:r>
          </w:p>
        </w:tc>
      </w:tr>
      <w:tr w:rsidR="00C67AC8" w:rsidRPr="00C67AC8" w14:paraId="7BB487C7" w14:textId="77777777" w:rsidTr="00C67AC8">
        <w:tc>
          <w:tcPr>
            <w:tcW w:w="2700" w:type="dxa"/>
          </w:tcPr>
          <w:p w14:paraId="2F809EF0" w14:textId="77777777" w:rsidR="00C67AC8" w:rsidRPr="00C67AC8" w:rsidRDefault="00C67AC8" w:rsidP="006A4CF0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Math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3CB8" w14:textId="29539F94" w:rsidR="00C67AC8" w:rsidRPr="00C67AC8" w:rsidRDefault="00C4345A" w:rsidP="00C4345A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Basic math skills are used when prompted.</w:t>
            </w:r>
          </w:p>
          <w:p w14:paraId="5E4C4F62" w14:textId="77777777" w:rsidR="00C67AC8" w:rsidRPr="00C67AC8" w:rsidRDefault="00C67AC8" w:rsidP="006A4CF0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  <w:p w14:paraId="308E5C36" w14:textId="77777777" w:rsidR="00C67AC8" w:rsidRPr="00C67AC8" w:rsidRDefault="00C67AC8" w:rsidP="006A4CF0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55E3" w14:textId="3F47BF84" w:rsidR="00C67AC8" w:rsidRPr="00C67AC8" w:rsidRDefault="00C4345A" w:rsidP="006A4CF0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Students use mathematics to solve problems when given specific situations</w:t>
            </w:r>
            <w:r w:rsidR="003B4B5A">
              <w:rPr>
                <w:b/>
                <w:color w:val="808080" w:themeColor="background1" w:themeShade="80"/>
              </w:rPr>
              <w:t>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D03C" w14:textId="4A69289C" w:rsidR="00C67AC8" w:rsidRPr="00C67AC8" w:rsidRDefault="003B4B5A" w:rsidP="00C4345A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Students determine which math skills are needed to solve issues that arise.</w:t>
            </w:r>
          </w:p>
        </w:tc>
      </w:tr>
      <w:tr w:rsidR="00C67AC8" w:rsidRPr="00C67AC8" w14:paraId="307BA61A" w14:textId="77777777" w:rsidTr="00C67AC8">
        <w:tc>
          <w:tcPr>
            <w:tcW w:w="2700" w:type="dxa"/>
          </w:tcPr>
          <w:p w14:paraId="57C9D268" w14:textId="77777777" w:rsidR="00C67AC8" w:rsidRPr="00C67AC8" w:rsidRDefault="00C67AC8" w:rsidP="006A4CF0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ELA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D31C" w14:textId="458DA950" w:rsidR="00C67AC8" w:rsidRPr="00C67AC8" w:rsidRDefault="00327412" w:rsidP="00327412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Students somewhat use conventional English during their poster presentations for their Sustainability Showcase.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5C9B8" w14:textId="2B90C14B" w:rsidR="00C67AC8" w:rsidRPr="00C67AC8" w:rsidRDefault="00284FFA" w:rsidP="006A4CF0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Students </w:t>
            </w:r>
            <w:r w:rsidR="00A756E6">
              <w:rPr>
                <w:b/>
                <w:color w:val="808080" w:themeColor="background1" w:themeShade="80"/>
              </w:rPr>
              <w:t>use conventional English during their poster presentations for their Sustainability Showcase.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8FD8" w14:textId="04203A78" w:rsidR="00C67AC8" w:rsidRPr="00327412" w:rsidRDefault="00327412" w:rsidP="00327412">
            <w:r>
              <w:t>Students use technical terminology when presenting their projects for the Sustainability Showcase.</w:t>
            </w:r>
          </w:p>
        </w:tc>
      </w:tr>
      <w:tr w:rsidR="00C67AC8" w:rsidRPr="00C67AC8" w14:paraId="7CE88930" w14:textId="77777777" w:rsidTr="00C67AC8">
        <w:tc>
          <w:tcPr>
            <w:tcW w:w="2700" w:type="dxa"/>
          </w:tcPr>
          <w:p w14:paraId="12A0001A" w14:textId="77777777" w:rsidR="00C67AC8" w:rsidRPr="00C67AC8" w:rsidRDefault="00C67AC8" w:rsidP="006A4CF0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Social Studies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91F4" w14:textId="343BE960" w:rsidR="00C67AC8" w:rsidRPr="00C67AC8" w:rsidRDefault="001A5EF2" w:rsidP="006A4CF0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Students can answer questions when prompted about </w:t>
            </w:r>
          </w:p>
          <w:p w14:paraId="255C136F" w14:textId="77777777" w:rsidR="00C67AC8" w:rsidRPr="00C67AC8" w:rsidRDefault="00C67AC8" w:rsidP="006A4CF0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  <w:p w14:paraId="58626256" w14:textId="77777777" w:rsidR="00C67AC8" w:rsidRPr="00C67AC8" w:rsidRDefault="00C67AC8" w:rsidP="006A4CF0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755A" w14:textId="04E966B5" w:rsidR="00C67AC8" w:rsidRPr="00C67AC8" w:rsidRDefault="001A5EF2" w:rsidP="006A4CF0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Students are able to make connections between their primary carbon footprint and the impact on the environment.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DE0D" w14:textId="640F576D" w:rsidR="00C67AC8" w:rsidRPr="00C67AC8" w:rsidRDefault="001A5EF2" w:rsidP="006A4CF0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Students are able to support with evidence, with a model, their explanation of the human impact on climate by impacting the carbon cycle.</w:t>
            </w:r>
          </w:p>
        </w:tc>
      </w:tr>
    </w:tbl>
    <w:p w14:paraId="1B5C81CF" w14:textId="77777777" w:rsidR="00C67AC8" w:rsidRPr="00C67AC8" w:rsidRDefault="00C67AC8" w:rsidP="007843AA">
      <w:pPr>
        <w:rPr>
          <w:color w:val="808080" w:themeColor="background1" w:themeShade="80"/>
        </w:rPr>
      </w:pPr>
    </w:p>
    <w:sectPr w:rsidR="00C67AC8" w:rsidRPr="00C67AC8" w:rsidSect="0010506B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9CA36" w14:textId="77777777" w:rsidR="00745D0D" w:rsidRDefault="00745D0D" w:rsidP="008403F1">
      <w:pPr>
        <w:spacing w:after="0" w:line="240" w:lineRule="auto"/>
      </w:pPr>
      <w:r>
        <w:separator/>
      </w:r>
    </w:p>
  </w:endnote>
  <w:endnote w:type="continuationSeparator" w:id="0">
    <w:p w14:paraId="2BBAFE97" w14:textId="77777777" w:rsidR="00745D0D" w:rsidRDefault="00745D0D" w:rsidP="0084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C774" w14:textId="77777777" w:rsidR="00FF7F38" w:rsidRDefault="00FF7F38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</w:p>
  <w:p w14:paraId="0E388D94" w14:textId="77777777" w:rsidR="00FF7F38" w:rsidRDefault="00FF7F38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</w:p>
  <w:p w14:paraId="2A9C117A" w14:textId="6A6C789D" w:rsidR="00FF7F38" w:rsidRPr="000E2F94" w:rsidRDefault="00FF7F38" w:rsidP="000E2F94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  <w:r w:rsidRPr="004A050E">
      <w:rPr>
        <w:rFonts w:ascii="Arial" w:hAnsi="Arial" w:cs="Arial"/>
        <w:i/>
        <w:color w:val="808080" w:themeColor="background1" w:themeShade="80"/>
        <w:sz w:val="16"/>
      </w:rPr>
      <w:t xml:space="preserve">TSIN PBL Template  | www.tsin.org  |  Page </w:t>
    </w:r>
    <w:sdt>
      <w:sdtPr>
        <w:rPr>
          <w:rFonts w:ascii="Arial" w:hAnsi="Arial" w:cs="Arial"/>
          <w:i/>
          <w:color w:val="808080" w:themeColor="background1" w:themeShade="80"/>
          <w:sz w:val="16"/>
        </w:rPr>
        <w:id w:val="111031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A050E">
          <w:rPr>
            <w:rFonts w:ascii="Arial" w:hAnsi="Arial" w:cs="Arial"/>
            <w:i/>
            <w:color w:val="808080" w:themeColor="background1" w:themeShade="80"/>
            <w:sz w:val="16"/>
          </w:rPr>
          <w:fldChar w:fldCharType="begin"/>
        </w:r>
        <w:r w:rsidRPr="004A050E">
          <w:rPr>
            <w:rFonts w:ascii="Arial" w:hAnsi="Arial" w:cs="Arial"/>
            <w:i/>
            <w:color w:val="808080" w:themeColor="background1" w:themeShade="80"/>
            <w:sz w:val="16"/>
          </w:rPr>
          <w:instrText xml:space="preserve"> PAGE   \* MERGEFORMAT </w:instrText>
        </w:r>
        <w:r w:rsidRPr="004A050E">
          <w:rPr>
            <w:rFonts w:ascii="Arial" w:hAnsi="Arial" w:cs="Arial"/>
            <w:i/>
            <w:color w:val="808080" w:themeColor="background1" w:themeShade="80"/>
            <w:sz w:val="16"/>
          </w:rPr>
          <w:fldChar w:fldCharType="separate"/>
        </w:r>
        <w:r w:rsidR="00B17557">
          <w:rPr>
            <w:rFonts w:ascii="Arial" w:hAnsi="Arial" w:cs="Arial"/>
            <w:i/>
            <w:noProof/>
            <w:color w:val="808080" w:themeColor="background1" w:themeShade="80"/>
            <w:sz w:val="16"/>
          </w:rPr>
          <w:t>1</w:t>
        </w:r>
        <w:r w:rsidRPr="004A050E">
          <w:rPr>
            <w:rFonts w:ascii="Arial" w:hAnsi="Arial" w:cs="Arial"/>
            <w:i/>
            <w:noProof/>
            <w:color w:val="808080" w:themeColor="background1" w:themeShade="80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696D" w14:textId="77777777" w:rsidR="00745D0D" w:rsidRDefault="00745D0D" w:rsidP="008403F1">
      <w:pPr>
        <w:spacing w:after="0" w:line="240" w:lineRule="auto"/>
      </w:pPr>
      <w:r>
        <w:separator/>
      </w:r>
    </w:p>
  </w:footnote>
  <w:footnote w:type="continuationSeparator" w:id="0">
    <w:p w14:paraId="2F4B6C03" w14:textId="77777777" w:rsidR="00745D0D" w:rsidRDefault="00745D0D" w:rsidP="0084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0312"/>
    <w:multiLevelType w:val="hybridMultilevel"/>
    <w:tmpl w:val="5C6C1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1680"/>
    <w:multiLevelType w:val="hybridMultilevel"/>
    <w:tmpl w:val="F904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B6F"/>
    <w:multiLevelType w:val="hybridMultilevel"/>
    <w:tmpl w:val="7D96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84798"/>
    <w:multiLevelType w:val="hybridMultilevel"/>
    <w:tmpl w:val="A8461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23A2E"/>
    <w:multiLevelType w:val="hybridMultilevel"/>
    <w:tmpl w:val="BCC2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42443"/>
    <w:multiLevelType w:val="multilevel"/>
    <w:tmpl w:val="B392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21"/>
    <w:rsid w:val="00026D6C"/>
    <w:rsid w:val="00065462"/>
    <w:rsid w:val="00072A29"/>
    <w:rsid w:val="000E2F94"/>
    <w:rsid w:val="0010506B"/>
    <w:rsid w:val="00110E32"/>
    <w:rsid w:val="0013045D"/>
    <w:rsid w:val="0015278A"/>
    <w:rsid w:val="00157A60"/>
    <w:rsid w:val="00166678"/>
    <w:rsid w:val="001A5EF2"/>
    <w:rsid w:val="001D6F09"/>
    <w:rsid w:val="001F7A15"/>
    <w:rsid w:val="00202B5D"/>
    <w:rsid w:val="00226315"/>
    <w:rsid w:val="002300F6"/>
    <w:rsid w:val="00237CCC"/>
    <w:rsid w:val="00284FFA"/>
    <w:rsid w:val="00294C1F"/>
    <w:rsid w:val="002C28A8"/>
    <w:rsid w:val="002C2A34"/>
    <w:rsid w:val="003215D9"/>
    <w:rsid w:val="00327412"/>
    <w:rsid w:val="00334786"/>
    <w:rsid w:val="003B4B5A"/>
    <w:rsid w:val="0046198D"/>
    <w:rsid w:val="00481F47"/>
    <w:rsid w:val="004A050E"/>
    <w:rsid w:val="004A7739"/>
    <w:rsid w:val="004B108B"/>
    <w:rsid w:val="004C49EF"/>
    <w:rsid w:val="004D7D79"/>
    <w:rsid w:val="004E5212"/>
    <w:rsid w:val="00570946"/>
    <w:rsid w:val="00582EDC"/>
    <w:rsid w:val="00617F51"/>
    <w:rsid w:val="00645EBF"/>
    <w:rsid w:val="006945F4"/>
    <w:rsid w:val="006A4CF0"/>
    <w:rsid w:val="006C4C1B"/>
    <w:rsid w:val="0073710F"/>
    <w:rsid w:val="00745D0D"/>
    <w:rsid w:val="007843AA"/>
    <w:rsid w:val="007B1EAA"/>
    <w:rsid w:val="007C3FAE"/>
    <w:rsid w:val="007F36E8"/>
    <w:rsid w:val="00800AA2"/>
    <w:rsid w:val="00820D00"/>
    <w:rsid w:val="008403F1"/>
    <w:rsid w:val="00851067"/>
    <w:rsid w:val="00874F21"/>
    <w:rsid w:val="008A2116"/>
    <w:rsid w:val="008A4B96"/>
    <w:rsid w:val="008A79C5"/>
    <w:rsid w:val="00924DB0"/>
    <w:rsid w:val="00955C8A"/>
    <w:rsid w:val="00971DE0"/>
    <w:rsid w:val="00986EAC"/>
    <w:rsid w:val="009A2921"/>
    <w:rsid w:val="009A2E7F"/>
    <w:rsid w:val="009B6E84"/>
    <w:rsid w:val="009C0167"/>
    <w:rsid w:val="009C5022"/>
    <w:rsid w:val="009D1994"/>
    <w:rsid w:val="00A10FA8"/>
    <w:rsid w:val="00A33A64"/>
    <w:rsid w:val="00A756E6"/>
    <w:rsid w:val="00A8249C"/>
    <w:rsid w:val="00A82E1F"/>
    <w:rsid w:val="00A83414"/>
    <w:rsid w:val="00A95B30"/>
    <w:rsid w:val="00AC7250"/>
    <w:rsid w:val="00B17557"/>
    <w:rsid w:val="00B27A69"/>
    <w:rsid w:val="00B323FE"/>
    <w:rsid w:val="00B574BD"/>
    <w:rsid w:val="00B64C1B"/>
    <w:rsid w:val="00BD586D"/>
    <w:rsid w:val="00BD59E5"/>
    <w:rsid w:val="00C066C3"/>
    <w:rsid w:val="00C4345A"/>
    <w:rsid w:val="00C44E60"/>
    <w:rsid w:val="00C65F24"/>
    <w:rsid w:val="00C67AC8"/>
    <w:rsid w:val="00CB35FE"/>
    <w:rsid w:val="00CC6049"/>
    <w:rsid w:val="00D01D12"/>
    <w:rsid w:val="00D1487F"/>
    <w:rsid w:val="00DA2A4A"/>
    <w:rsid w:val="00DB20A7"/>
    <w:rsid w:val="00DC6E82"/>
    <w:rsid w:val="00DE71B9"/>
    <w:rsid w:val="00E0722B"/>
    <w:rsid w:val="00E163CE"/>
    <w:rsid w:val="00E407E5"/>
    <w:rsid w:val="00E95B7E"/>
    <w:rsid w:val="00ED0129"/>
    <w:rsid w:val="00EF7DDA"/>
    <w:rsid w:val="00F0254B"/>
    <w:rsid w:val="00F062E2"/>
    <w:rsid w:val="00F45BC8"/>
    <w:rsid w:val="00F5033E"/>
    <w:rsid w:val="00F70D21"/>
    <w:rsid w:val="00FA3353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075F4"/>
  <w15:chartTrackingRefBased/>
  <w15:docId w15:val="{23C5106D-0247-419E-BDC0-3BDC3E10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3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43A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4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F1"/>
  </w:style>
  <w:style w:type="paragraph" w:styleId="Footer">
    <w:name w:val="footer"/>
    <w:basedOn w:val="Normal"/>
    <w:link w:val="FooterChar"/>
    <w:uiPriority w:val="99"/>
    <w:unhideWhenUsed/>
    <w:rsid w:val="0084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Stroecker, Brandi</dc:creator>
  <cp:keywords/>
  <dc:description/>
  <cp:lastModifiedBy>Johnson, Jennifer B</cp:lastModifiedBy>
  <cp:revision>3</cp:revision>
  <cp:lastPrinted>2018-07-24T17:26:00Z</cp:lastPrinted>
  <dcterms:created xsi:type="dcterms:W3CDTF">2018-08-08T23:29:00Z</dcterms:created>
  <dcterms:modified xsi:type="dcterms:W3CDTF">2018-08-08T23:30:00Z</dcterms:modified>
</cp:coreProperties>
</file>